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42" w:hanging="142"/>
        <w:jc w:val="center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sz w:val="28"/>
          <w:szCs w:val="28"/>
          <w:lang w:eastAsia="en-US"/>
        </w:rPr>
        <w:t xml:space="preserve">Паспорт  </w:t>
      </w:r>
      <w:r/>
    </w:p>
    <w:p>
      <w:pPr>
        <w:jc w:val="center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sz w:val="28"/>
          <w:szCs w:val="28"/>
          <w:lang w:eastAsia="en-US"/>
        </w:rPr>
        <w:t xml:space="preserve">инвестиционной площадки</w:t>
      </w:r>
      <w:r/>
    </w:p>
    <w:p>
      <w:pPr>
        <w:jc w:val="center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z w:val="28"/>
          <w:szCs w:val="28"/>
          <w:u w:val="single"/>
          <w:lang w:eastAsia="en-US"/>
        </w:rPr>
        <w:t xml:space="preserve">Междуреченский городской округ</w:t>
      </w:r>
      <w:r/>
    </w:p>
    <w:p>
      <w:pPr>
        <w:jc w:val="center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для размещения объекта гостиничного обслуживания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Название площадки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Инвестиционная площадка: 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 xml:space="preserve">для размещения объекта гостиничного обслуживания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(указывается возможное использование 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Тип площадки/ функциональное назначение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иная (д</w:t>
            </w:r>
            <w:r>
              <w:rPr>
                <w:rFonts w:ascii="Times New Roman" w:hAnsi="Times New Roman"/>
              </w:rPr>
              <w:t xml:space="preserve">ля объектов общественно-делового значения, гостиничное обслуживание)</w:t>
            </w:r>
            <w:r/>
          </w:p>
        </w:tc>
      </w:tr>
    </w:tbl>
    <w:p>
      <w:pPr>
        <w:contextualSpacing w:val="true"/>
        <w:ind w:left="714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pStyle w:val="849"/>
        <w:numPr>
          <w:ilvl w:val="0"/>
          <w:numId w:val="3"/>
        </w:numPr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 Положение и окружение инвестиционной площадки 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Место расположения (адрес)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</w:rPr>
              <w:t xml:space="preserve">г</w:t>
            </w:r>
            <w:r>
              <w:rPr>
                <w:rFonts w:ascii="Times New Roman" w:hAnsi="Times New Roman"/>
              </w:rPr>
              <w:t xml:space="preserve"> Междуреченск</w:t>
            </w:r>
            <w:r/>
          </w:p>
        </w:tc>
      </w:tr>
      <w:tr>
        <w:trPr/>
        <w:tc>
          <w:tcPr>
            <w:gridSpan w:val="2"/>
            <w:tcW w:w="10173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Удаленность от объектов (в </w:t>
            </w:r>
            <w:r>
              <w:rPr>
                <w:rFonts w:ascii="Times New Roman" w:hAnsi="Times New Roman" w:eastAsia="Calibri"/>
                <w:lang w:eastAsia="en-US"/>
              </w:rPr>
              <w:t xml:space="preserve">км</w:t>
            </w:r>
            <w:r>
              <w:rPr>
                <w:rFonts w:ascii="Times New Roman" w:hAnsi="Times New Roman" w:eastAsia="Calibri"/>
                <w:lang w:eastAsia="en-US"/>
              </w:rPr>
              <w:t xml:space="preserve">):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- </w:t>
            </w:r>
            <w:r>
              <w:rPr>
                <w:rFonts w:ascii="Times New Roman" w:hAnsi="Times New Roman" w:eastAsia="Calibri"/>
                <w:lang w:eastAsia="en-US"/>
              </w:rPr>
              <w:t xml:space="preserve">г</w:t>
            </w:r>
            <w:r>
              <w:rPr>
                <w:rFonts w:ascii="Times New Roman" w:hAnsi="Times New Roman" w:eastAsia="Calibri"/>
                <w:lang w:eastAsia="en-US"/>
              </w:rPr>
              <w:t xml:space="preserve">. Кемерово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315 км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- центра муниципального образования 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10,6 км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- автомагистрали (Новокузнецк-Междуреченск)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Расстояние по прямой 12 км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Расстояние по дорогам общего пользования 12,7 км (прямого доступа проезда по дорогам общего пользования нет, </w:t>
            </w:r>
            <w:r>
              <w:rPr>
                <w:rFonts w:ascii="Times New Roman" w:hAnsi="Times New Roman"/>
              </w:rPr>
              <w:t xml:space="preserve">через р</w:t>
            </w:r>
            <w:r>
              <w:rPr>
                <w:rFonts w:ascii="Times New Roman" w:hAnsi="Times New Roman"/>
              </w:rPr>
              <w:t xml:space="preserve">.Т</w:t>
            </w:r>
            <w:r>
              <w:rPr>
                <w:rFonts w:ascii="Times New Roman" w:hAnsi="Times New Roman"/>
              </w:rPr>
              <w:t xml:space="preserve">омь автодорожное сообщение отсутствует</w:t>
            </w:r>
            <w:r>
              <w:rPr>
                <w:rFonts w:ascii="Times New Roman" w:hAnsi="Times New Roman" w:eastAsia="Calibri"/>
                <w:lang w:eastAsia="en-US"/>
              </w:rPr>
              <w:t xml:space="preserve">)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наличие автомобильных подъездных путей (прямого подъезда к участку нет, </w:t>
            </w:r>
            <w:r>
              <w:rPr>
                <w:rFonts w:ascii="Times New Roman" w:hAnsi="Times New Roman"/>
              </w:rPr>
              <w:t xml:space="preserve">(через р</w:t>
            </w:r>
            <w:r>
              <w:rPr>
                <w:rFonts w:ascii="Times New Roman" w:hAnsi="Times New Roman"/>
              </w:rPr>
              <w:t xml:space="preserve">.Т</w:t>
            </w:r>
            <w:r>
              <w:rPr>
                <w:rFonts w:ascii="Times New Roman" w:hAnsi="Times New Roman"/>
              </w:rPr>
              <w:t xml:space="preserve">омь автодорожное сообщение отсутствует)</w:t>
            </w:r>
            <w:r>
              <w:t xml:space="preserve">  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 расстоянии  0,04   км от границы площадки</w:t>
            </w:r>
            <w:r/>
          </w:p>
          <w:p>
            <w:pPr>
              <w:ind w:left="360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 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Вид покрытия автодороги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асфальтовое покрытие</w:t>
            </w:r>
            <w:r/>
          </w:p>
          <w:p>
            <w:pPr>
              <w:ind w:left="360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 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Наличие железнодорожной </w:t>
            </w:r>
            <w:r>
              <w:rPr>
                <w:rFonts w:ascii="Times New Roman" w:hAnsi="Times New Roman" w:eastAsia="Calibri"/>
                <w:lang w:eastAsia="en-US"/>
              </w:rPr>
              <w:t xml:space="preserve">погрузочно</w:t>
            </w:r>
            <w:r>
              <w:rPr>
                <w:rFonts w:ascii="Times New Roman" w:hAnsi="Times New Roman" w:eastAsia="Calibri"/>
                <w:lang w:eastAsia="en-US"/>
              </w:rPr>
              <w:t xml:space="preserve"> – разгрузочной</w:t>
            </w:r>
            <w:r>
              <w:rPr>
                <w:rFonts w:ascii="Times New Roman" w:hAnsi="Times New Roman" w:eastAsia="Calibri"/>
                <w:lang w:eastAsia="en-US"/>
              </w:rPr>
              <w:t xml:space="preserve"> площадки (станции Междуреченск)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 расстоянии 12 км от границы площадки</w:t>
            </w:r>
            <w:r/>
          </w:p>
          <w:p>
            <w:pPr>
              <w:ind w:left="360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 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Удаленность от аэропорта (</w:t>
            </w:r>
            <w:r>
              <w:rPr>
                <w:rFonts w:ascii="Times New Roman" w:hAnsi="Times New Roman" w:eastAsia="Calibri"/>
                <w:lang w:eastAsia="en-US"/>
              </w:rPr>
              <w:t xml:space="preserve">Новокузнецк-Спиченково</w:t>
            </w:r>
            <w:r>
              <w:rPr>
                <w:rFonts w:ascii="Times New Roman" w:hAnsi="Times New Roman" w:eastAsia="Calibri"/>
                <w:lang w:eastAsia="en-US"/>
              </w:rPr>
              <w:t xml:space="preserve">)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119 км 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Удаленность от полигонов размещения отходов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u w:val="single"/>
                <w:lang w:eastAsia="en-US"/>
              </w:rPr>
              <w:t xml:space="preserve">86,3</w:t>
            </w:r>
            <w:r>
              <w:rPr>
                <w:rFonts w:ascii="Times New Roman" w:hAnsi="Times New Roman" w:eastAsia="Calibri"/>
                <w:lang w:eastAsia="en-US"/>
              </w:rPr>
              <w:t xml:space="preserve"> км</w:t>
            </w:r>
            <w:r>
              <w:rPr>
                <w:rFonts w:ascii="Times New Roman" w:hAnsi="Times New Roman" w:eastAsia="Calibri"/>
                <w:lang w:eastAsia="en-US"/>
              </w:rPr>
              <w:t xml:space="preserve">.</w:t>
            </w:r>
            <w:r>
              <w:rPr>
                <w:rFonts w:ascii="Times New Roman" w:hAnsi="Times New Roman" w:eastAsia="Calibri"/>
                <w:lang w:eastAsia="en-US"/>
              </w:rPr>
              <w:t xml:space="preserve"> № </w:t>
            </w:r>
            <w:r>
              <w:rPr>
                <w:rFonts w:ascii="Times New Roman" w:hAnsi="Times New Roman" w:eastAsia="Calibri"/>
                <w:lang w:eastAsia="en-US"/>
              </w:rPr>
              <w:t xml:space="preserve">п</w:t>
            </w:r>
            <w:r>
              <w:rPr>
                <w:rFonts w:ascii="Times New Roman" w:hAnsi="Times New Roman" w:eastAsia="Calibri"/>
                <w:lang w:eastAsia="en-US"/>
              </w:rPr>
              <w:t xml:space="preserve">олигона в ГРОРО </w:t>
            </w:r>
            <w:r>
              <w:rPr>
                <w:rFonts w:ascii="Times New Roman" w:hAnsi="Times New Roman" w:eastAsia="Calibri"/>
                <w:u w:val="single"/>
                <w:lang w:eastAsia="en-US"/>
              </w:rPr>
              <w:t xml:space="preserve">445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мусороперегрузочная станция </w:t>
            </w:r>
            <w:r>
              <w:rPr>
                <w:rFonts w:ascii="Times New Roman" w:hAnsi="Times New Roman" w:eastAsia="Calibri"/>
                <w:u w:val="single"/>
                <w:lang w:eastAsia="en-US"/>
              </w:rPr>
              <w:t xml:space="preserve">40</w:t>
            </w:r>
            <w:r>
              <w:rPr>
                <w:rFonts w:ascii="Times New Roman" w:hAnsi="Times New Roman" w:eastAsia="Calibri"/>
                <w:lang w:eastAsia="en-US"/>
              </w:rPr>
              <w:t xml:space="preserve"> км. г</w:t>
            </w:r>
            <w:r>
              <w:rPr>
                <w:rFonts w:ascii="Times New Roman" w:hAnsi="Times New Roman" w:eastAsia="Calibri"/>
                <w:lang w:eastAsia="en-US"/>
              </w:rPr>
              <w:t xml:space="preserve">.М</w:t>
            </w:r>
            <w:r>
              <w:rPr>
                <w:rFonts w:ascii="Times New Roman" w:hAnsi="Times New Roman" w:eastAsia="Calibri"/>
                <w:lang w:eastAsia="en-US"/>
              </w:rPr>
              <w:t xml:space="preserve">ыски 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Рельеф поверхности (ровная, наклонная, террасная, уступами)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ровная</w:t>
            </w:r>
            <w:r/>
          </w:p>
        </w:tc>
      </w:tr>
    </w:tbl>
    <w:p>
      <w:pPr>
        <w:contextualSpacing w:val="true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2.  Правовой статус инвестиционной площадки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Вид собственности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собственность на земельный участок не разграничена</w:t>
            </w:r>
            <w:r/>
          </w:p>
        </w:tc>
      </w:tr>
      <w:tr>
        <w:trPr>
          <w:trHeight w:val="283"/>
        </w:trPr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Категория земель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земли населенных пунктов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Межевание земельного участка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проведено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Кадастровый номер 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left" w:pos="1170" w:leader="none"/>
              </w:tabs>
              <w:rPr>
                <w:rFonts w:ascii="Times New Roman" w:hAnsi="Times New Roman" w:eastAsia="Calibri"/>
              </w:rPr>
            </w:pPr>
            <w:r>
              <w:rPr>
                <w:rStyle w:val="850"/>
                <w:rFonts w:ascii="Times New Roman" w:hAnsi="Times New Roman"/>
              </w:rPr>
              <w:t xml:space="preserve">42:28:2001001:22</w:t>
            </w:r>
            <w:r/>
          </w:p>
        </w:tc>
      </w:tr>
    </w:tbl>
    <w:p>
      <w:pPr>
        <w:contextualSpacing w:val="true"/>
        <w:ind w:left="714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contextualSpacing w:val="true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3. Характеристика территории инвестиционной площадки 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Площадь, в </w:t>
            </w:r>
            <w:r>
              <w:rPr>
                <w:rFonts w:ascii="Times New Roman" w:hAnsi="Times New Roman" w:eastAsia="Calibri"/>
                <w:lang w:eastAsia="en-US"/>
              </w:rPr>
              <w:t xml:space="preserve">га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bCs/>
              </w:rPr>
              <w:t xml:space="preserve">4,996</w:t>
            </w:r>
            <w:r/>
          </w:p>
        </w:tc>
      </w:tr>
      <w:tr>
        <w:trPr>
          <w:trHeight w:val="571"/>
        </w:trPr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Возможность расширения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нет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val="en-US"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Стоимость ориентировочная, тыс. руб.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Приобретения (кадастровая стоимость)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20878,82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Аренды в месяц 0,94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Возможные меры поддержки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ТОСЭР      </w:t>
            </w: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 ОЭЗ     ФРМ          </w:t>
            </w: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 Другие____________</w:t>
            </w:r>
            <w:r/>
          </w:p>
        </w:tc>
      </w:tr>
    </w:tbl>
    <w:p>
      <w:pPr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4. Характеристика инженерной инфраструктуры инвестиционной площадки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275"/>
        <w:gridCol w:w="1418"/>
        <w:gridCol w:w="1134"/>
        <w:gridCol w:w="992"/>
        <w:gridCol w:w="1985"/>
      </w:tblGrid>
      <w:tr>
        <w:trPr>
          <w:trHeight w:val="270"/>
        </w:trPr>
        <w:tc>
          <w:tcPr>
            <w:tcW w:w="1384" w:type="dxa"/>
            <w:vMerge w:val="restart"/>
            <w:textDirection w:val="lrTb"/>
            <w:noWrap w:val="false"/>
          </w:tcPr>
          <w:p>
            <w:pPr>
              <w:ind w:left="-108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Вид инфраструктуры</w:t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Единица измерения</w:t>
            </w:r>
            <w:r/>
          </w:p>
        </w:tc>
        <w:tc>
          <w:tcPr>
            <w:gridSpan w:val="2"/>
            <w:tcW w:w="2409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Мощность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Расстояние от границы площадки до точки подключения/</w:t>
            </w:r>
            <w:r/>
          </w:p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присоединения, 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км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Стоимость подключения к ресурсу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Стоимость ресурса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Поставщик ресурса</w:t>
            </w:r>
            <w:r/>
          </w:p>
        </w:tc>
      </w:tr>
      <w:tr>
        <w:trPr>
          <w:trHeight w:val="222"/>
        </w:trPr>
        <w:tc>
          <w:tcPr>
            <w:tcW w:w="1384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Существующая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Доступная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 к подведению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</w:tr>
      <w:tr>
        <w:trPr>
          <w:trHeight w:val="276"/>
        </w:trPr>
        <w:tc>
          <w:tcPr>
            <w:tcW w:w="138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Газ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</w:t>
            </w:r>
            <w:r>
              <w:rPr>
                <w:rFonts w:ascii="Times New Roman" w:hAnsi="Times New Roman" w:eastAsia="Calibri"/>
                <w:sz w:val="16"/>
                <w:szCs w:val="16"/>
                <w:vertAlign w:val="superscript"/>
                <w:lang w:eastAsia="en-US"/>
              </w:rPr>
              <w:t xml:space="preserve">3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/час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</w:tr>
      <w:tr>
        <w:trPr>
          <w:trHeight w:val="334"/>
        </w:trPr>
        <w:tc>
          <w:tcPr>
            <w:tcW w:w="138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Теплоснабжение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Гкал/час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34,5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14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3,715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ООО ХК «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СДС-Энерго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»</w:t>
            </w:r>
            <w:r/>
          </w:p>
        </w:tc>
      </w:tr>
      <w:tr>
        <w:trPr>
          <w:trHeight w:val="289"/>
        </w:trPr>
        <w:tc>
          <w:tcPr>
            <w:tcW w:w="138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Электроэнергия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кВт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58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5,9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480,0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0,13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АО «Электросеть»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</w:tr>
      <w:tr>
        <w:trPr>
          <w:trHeight w:val="280"/>
        </w:trPr>
        <w:tc>
          <w:tcPr>
            <w:tcW w:w="138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Водоснабжение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</w:t>
            </w:r>
            <w:r>
              <w:rPr>
                <w:rFonts w:ascii="Times New Roman" w:hAnsi="Times New Roman" w:eastAsia="Calibri"/>
                <w:sz w:val="16"/>
                <w:szCs w:val="16"/>
                <w:vertAlign w:val="superscript"/>
                <w:lang w:eastAsia="en-US"/>
              </w:rPr>
              <w:t xml:space="preserve">3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/час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1773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769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0,422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17,25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МУП «Междуреченский водоканал</w:t>
            </w:r>
            <w:r/>
          </w:p>
        </w:tc>
      </w:tr>
      <w:tr>
        <w:trPr>
          <w:trHeight w:val="264"/>
        </w:trPr>
        <w:tc>
          <w:tcPr>
            <w:tcW w:w="138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Водоотведение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</w:t>
            </w:r>
            <w:r>
              <w:rPr>
                <w:rFonts w:ascii="Times New Roman" w:hAnsi="Times New Roman" w:eastAsia="Calibri"/>
                <w:sz w:val="16"/>
                <w:szCs w:val="16"/>
                <w:vertAlign w:val="superscript"/>
                <w:lang w:eastAsia="en-US"/>
              </w:rPr>
              <w:t xml:space="preserve">3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/час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1447,1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419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1,033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33,68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МУП «Междуреченский водоканал</w:t>
            </w:r>
            <w:r/>
          </w:p>
        </w:tc>
      </w:tr>
    </w:tbl>
    <w:p>
      <w:pPr>
        <w:contextualSpacing w:val="true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contextualSpacing w:val="true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5. Основные параметры расположенных на площадке зданий и сооружений</w:t>
      </w:r>
      <w:r>
        <w:rPr>
          <w:rFonts w:ascii="Times New Roman" w:hAnsi="Times New Roman" w:eastAsia="Calibri"/>
          <w:b/>
          <w:vertAlign w:val="superscript"/>
          <w:lang w:eastAsia="en-US"/>
        </w:rPr>
        <w:footnoteReference w:id="2"/>
      </w:r>
      <w:r>
        <w:rPr>
          <w:rFonts w:ascii="Times New Roman" w:hAnsi="Times New Roman" w:eastAsia="Calibri"/>
          <w:b/>
          <w:lang w:eastAsia="en-US"/>
        </w:rPr>
        <w:t xml:space="preserve">: 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992"/>
        <w:gridCol w:w="992"/>
        <w:gridCol w:w="804"/>
        <w:gridCol w:w="1181"/>
        <w:gridCol w:w="992"/>
        <w:gridCol w:w="1276"/>
        <w:gridCol w:w="1276"/>
      </w:tblGrid>
      <w:tr>
        <w:trPr/>
        <w:tc>
          <w:tcPr>
            <w:tcW w:w="110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Наименование здания/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сооружения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Площадь, м</w:t>
            </w:r>
            <w:r>
              <w:rPr>
                <w:rFonts w:ascii="Times New Roman" w:hAnsi="Times New Roman" w:eastAsia="Calibri"/>
                <w:sz w:val="16"/>
                <w:szCs w:val="16"/>
                <w:vertAlign w:val="superscript"/>
                <w:lang w:eastAsia="en-US"/>
              </w:rPr>
              <w:t xml:space="preserve">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Этажность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Степень завершенности 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в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 %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Год постройки, оценка текущего состояния</w:t>
            </w:r>
            <w:r/>
          </w:p>
        </w:tc>
        <w:tc>
          <w:tcPr>
            <w:tcW w:w="80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Высота этажа, 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</w:t>
            </w:r>
            <w:r/>
          </w:p>
        </w:tc>
        <w:tc>
          <w:tcPr>
            <w:tcW w:w="118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Строительный материал конструкции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Состояние, степень износа, %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Возможность расширения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Использование в настоящее время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804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118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</w:tr>
    </w:tbl>
    <w:p>
      <w:pPr>
        <w:contextualSpacing w:val="true"/>
        <w:ind w:left="714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contextualSpacing w:val="true"/>
        <w:tabs>
          <w:tab w:val="left" w:pos="851" w:leader="none"/>
        </w:tabs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6. Характеристика доступной ресурсно-сырьевой базы</w:t>
      </w:r>
      <w:r>
        <w:rPr>
          <w:rFonts w:ascii="Times New Roman" w:hAnsi="Times New Roman" w:eastAsia="Calibri"/>
          <w:b/>
          <w:vertAlign w:val="superscript"/>
          <w:lang w:eastAsia="en-US"/>
        </w:rPr>
        <w:footnoteReference w:id="3"/>
      </w:r>
      <w:r>
        <w:rPr>
          <w:rFonts w:ascii="Times New Roman" w:hAnsi="Times New Roman" w:eastAsia="Calibri"/>
          <w:b/>
          <w:lang w:eastAsia="en-US"/>
        </w:rPr>
        <w:t xml:space="preserve"> </w:t>
      </w:r>
      <w:r/>
    </w:p>
    <w:tbl>
      <w:tblPr>
        <w:tblpPr w:horzAnchor="margin" w:tblpXSpec="left" w:vertAnchor="text" w:tblpY="83" w:leftFromText="180" w:topFromText="0" w:rightFromText="180" w:bottomFromText="0"/>
        <w:tblW w:w="1006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843"/>
        <w:gridCol w:w="3856"/>
      </w:tblGrid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Вид ресурсов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Величина разведанных/ подтвержденных запасов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Статус месторождения</w:t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Расстояние от границы площадки до месторождения, </w:t>
            </w:r>
            <w:r>
              <w:rPr>
                <w:rFonts w:ascii="Times New Roman" w:hAnsi="Times New Roman" w:eastAsia="Calibri"/>
                <w:lang w:eastAsia="en-US"/>
              </w:rPr>
              <w:t xml:space="preserve">км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</w:tbl>
    <w:p>
      <w:pPr>
        <w:contextualSpacing w:val="true"/>
        <w:ind w:left="714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contextualSpacing w:val="true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7. Трудовые ресурсы</w:t>
      </w:r>
      <w:r/>
    </w:p>
    <w:tbl>
      <w:tblPr>
        <w:tblW w:w="10140" w:type="dxa"/>
        <w:tblInd w:w="-8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35"/>
        <w:gridCol w:w="5605"/>
      </w:tblGrid>
      <w:tr>
        <w:trPr/>
        <w:tc>
          <w:tcPr>
            <w:tcW w:w="453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Численность населения, проживающего в ближайшем населенном пункте, человек</w:t>
            </w:r>
            <w:r/>
          </w:p>
        </w:tc>
        <w:tc>
          <w:tcPr>
            <w:tcBorders>
              <w:top w:val="single" w:sz="4" w:space="0" w:color="auto"/>
            </w:tcBorders>
            <w:tcW w:w="560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96 559</w:t>
            </w:r>
            <w:r/>
          </w:p>
        </w:tc>
      </w:tr>
      <w:tr>
        <w:trPr/>
        <w:tc>
          <w:tcPr>
            <w:tcW w:w="453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 том числе трудоспособного населения, человек</w:t>
            </w:r>
            <w:r/>
          </w:p>
        </w:tc>
        <w:tc>
          <w:tcPr>
            <w:tcBorders>
              <w:top w:val="single" w:sz="4" w:space="0" w:color="auto"/>
            </w:tcBorders>
            <w:tcW w:w="560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55 037</w:t>
            </w:r>
            <w:r/>
          </w:p>
        </w:tc>
      </w:tr>
    </w:tbl>
    <w:p>
      <w:pPr>
        <w:contextualSpacing w:val="true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contextualSpacing w:val="true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8. Сведения о владельце (собственнике) площадки:</w:t>
      </w:r>
      <w:r/>
    </w:p>
    <w:tbl>
      <w:tblPr>
        <w:tblW w:w="1006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8"/>
        <w:gridCol w:w="6664"/>
      </w:tblGrid>
      <w:tr>
        <w:trPr/>
        <w:tc>
          <w:tcPr>
            <w:gridSpan w:val="3"/>
            <w:tcW w:w="1006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Владелец (собственник)</w:t>
            </w:r>
            <w:r/>
          </w:p>
        </w:tc>
      </w:tr>
      <w:tr>
        <w:trPr/>
        <w:tc>
          <w:tcPr>
            <w:tcW w:w="3388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Наименование предприятия/ Ф.И.О.</w:t>
            </w:r>
            <w:r/>
          </w:p>
        </w:tc>
        <w:tc>
          <w:tcPr>
            <w:gridSpan w:val="2"/>
            <w:tcW w:w="667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Земли государственная </w:t>
            </w:r>
            <w:r>
              <w:rPr>
                <w:rFonts w:ascii="Times New Roman" w:hAnsi="Times New Roman" w:eastAsia="Calibri"/>
                <w:lang w:eastAsia="en-US"/>
              </w:rPr>
              <w:t xml:space="preserve">собственность</w:t>
            </w:r>
            <w:r>
              <w:rPr>
                <w:rFonts w:ascii="Times New Roman" w:hAnsi="Times New Roman" w:eastAsia="Calibri"/>
                <w:lang w:eastAsia="en-US"/>
              </w:rPr>
              <w:t xml:space="preserve"> на которые не разграничена</w:t>
            </w:r>
            <w:r/>
          </w:p>
        </w:tc>
      </w:tr>
      <w:tr>
        <w:trPr/>
        <w:tc>
          <w:tcPr>
            <w:tcW w:w="3388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Юридический адрес:</w:t>
            </w:r>
            <w:r/>
          </w:p>
        </w:tc>
        <w:tc>
          <w:tcPr>
            <w:gridSpan w:val="2"/>
            <w:tcW w:w="667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Кемеровская область, г</w:t>
            </w:r>
            <w:r>
              <w:rPr>
                <w:rFonts w:ascii="Times New Roman" w:hAnsi="Times New Roman" w:eastAsia="Calibri"/>
                <w:lang w:eastAsia="en-US"/>
              </w:rPr>
              <w:t xml:space="preserve">.М</w:t>
            </w:r>
            <w:r>
              <w:rPr>
                <w:rFonts w:ascii="Times New Roman" w:hAnsi="Times New Roman" w:eastAsia="Calibri"/>
                <w:lang w:eastAsia="en-US"/>
              </w:rPr>
              <w:t xml:space="preserve">еждуреченск, пр.Строителей 20а</w:t>
            </w:r>
            <w:r/>
          </w:p>
        </w:tc>
      </w:tr>
      <w:tr>
        <w:trPr/>
        <w:tc>
          <w:tcPr>
            <w:gridSpan w:val="3"/>
            <w:tcW w:w="1006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Контактное лицо:</w:t>
            </w:r>
            <w:r/>
          </w:p>
        </w:tc>
      </w:tr>
      <w:tr>
        <w:trPr/>
        <w:tc>
          <w:tcPr>
            <w:tcW w:w="3388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Ф.И.О., должность</w:t>
            </w:r>
            <w:r/>
          </w:p>
        </w:tc>
        <w:tc>
          <w:tcPr>
            <w:gridSpan w:val="2"/>
            <w:tcW w:w="6672" w:type="dxa"/>
            <w:textDirection w:val="lrTb"/>
            <w:noWrap w:val="false"/>
          </w:tcPr>
          <w:p>
            <w:pPr>
              <w:contextualSpacing w:val="true"/>
              <w:ind w:left="175" w:hanging="175"/>
              <w:jc w:val="both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Легалова</w:t>
            </w:r>
            <w:r>
              <w:rPr>
                <w:rFonts w:ascii="Times New Roman" w:hAnsi="Times New Roman" w:eastAsia="Calibri"/>
                <w:lang w:eastAsia="en-US"/>
              </w:rPr>
              <w:t xml:space="preserve"> Татьяна Валентиновна </w:t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Заместитель главы Междуреченского городского округа по экономике и инвестиционной политике</w:t>
            </w:r>
            <w:r/>
          </w:p>
        </w:tc>
      </w:tr>
      <w:tr>
        <w:trPr/>
        <w:tc>
          <w:tcPr>
            <w:tcW w:w="3388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Телефон</w:t>
            </w:r>
            <w:r/>
          </w:p>
        </w:tc>
        <w:tc>
          <w:tcPr>
            <w:gridSpan w:val="2"/>
            <w:tcW w:w="667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val="en-US"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38475 2-83-43</w:t>
            </w:r>
            <w:r>
              <w:rPr>
                <w:rFonts w:ascii="Times New Roman" w:hAnsi="Times New Roman" w:eastAsia="Calibri"/>
                <w:lang w:val="en-US" w:eastAsia="en-US"/>
              </w:rPr>
              <w:t xml:space="preserve"> </w:t>
            </w:r>
            <w:r/>
          </w:p>
        </w:tc>
      </w:tr>
      <w:tr>
        <w:trPr/>
        <w:tc>
          <w:tcPr>
            <w:tcW w:w="3388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val="en-US" w:eastAsia="en-US"/>
              </w:rPr>
              <w:t xml:space="preserve">e</w:t>
            </w:r>
            <w:r>
              <w:rPr>
                <w:rFonts w:ascii="Times New Roman" w:hAnsi="Times New Roman" w:eastAsia="Calibri"/>
                <w:lang w:eastAsia="en-US"/>
              </w:rPr>
              <w:t xml:space="preserve">-</w:t>
            </w:r>
            <w:r>
              <w:rPr>
                <w:rFonts w:ascii="Times New Roman" w:hAnsi="Times New Roman" w:eastAsia="Calibri"/>
                <w:lang w:val="en-US" w:eastAsia="en-US"/>
              </w:rPr>
              <w:t xml:space="preserve">mail</w:t>
            </w:r>
            <w:r/>
          </w:p>
        </w:tc>
        <w:tc>
          <w:tcPr>
            <w:gridSpan w:val="2"/>
            <w:tcW w:w="667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val="en-US" w:eastAsia="en-US"/>
              </w:rPr>
            </w:pPr>
            <w:r>
              <w:rPr>
                <w:rFonts w:ascii="Times New Roman" w:hAnsi="Times New Roman" w:eastAsia="Calibri"/>
                <w:lang w:val="en-US" w:eastAsia="en-US"/>
              </w:rPr>
              <w:t xml:space="preserve">priem311@mrech.ru</w:t>
            </w:r>
            <w:r/>
          </w:p>
        </w:tc>
      </w:tr>
      <w:tr>
        <w:trPr>
          <w:trHeight w:val="1178"/>
        </w:trPr>
        <w:tc>
          <w:tcPr>
            <w:gridSpan w:val="2"/>
            <w:tcW w:w="3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Форма владения (использования) землей (и) и зданиям</w:t>
            </w:r>
            <w:r>
              <w:rPr>
                <w:rFonts w:ascii="Times New Roman" w:hAnsi="Times New Roman" w:eastAsia="Calibri"/>
                <w:lang w:eastAsia="en-US"/>
              </w:rPr>
              <w:t xml:space="preserve">и(</w:t>
            </w:r>
            <w:r>
              <w:rPr>
                <w:rFonts w:ascii="Times New Roman" w:hAnsi="Times New Roman" w:eastAsia="Calibri"/>
                <w:lang w:eastAsia="en-US"/>
              </w:rPr>
              <w:t xml:space="preserve">ий</w:t>
            </w:r>
            <w:r>
              <w:rPr>
                <w:rFonts w:ascii="Times New Roman" w:hAnsi="Times New Roman" w:eastAsia="Calibri"/>
                <w:lang w:eastAsia="en-US"/>
              </w:rPr>
              <w:t xml:space="preserve">) (собственность, аренда, др.)</w:t>
            </w:r>
            <w:r/>
          </w:p>
        </w:tc>
        <w:tc>
          <w:tcPr>
            <w:tcW w:w="6664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Распоряжение</w:t>
            </w:r>
            <w:r/>
          </w:p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</w:tbl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к паспорту: фото / видео материалы по площадке.</w:t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изображение из публичной кадастровой карты</w:t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90005" cy="3693437"/>
                <wp:effectExtent l="19050" t="0" r="0" b="0"/>
                <wp:docPr id="1" name="Рисунок 3" descr="C:\Users\dubrovina_ns.MRECH\Desktop\Снимок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C:\Users\dubrovina_ns.MRECH\Desktop\Снимок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390005" cy="3693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03.1pt;height:290.8pt;" stroked="f" strokeweight="0.75pt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44"/>
      </w:pPr>
      <w:r>
        <w:rPr>
          <w:rStyle w:val="846"/>
        </w:rPr>
        <w:footnoteRef/>
      </w:r>
      <w:r>
        <w:t xml:space="preserve"> Заполняется по каждому объекту недвижимости </w:t>
      </w:r>
      <w:r/>
    </w:p>
  </w:footnote>
  <w:footnote w:id="3">
    <w:p>
      <w:pPr>
        <w:pStyle w:val="844"/>
      </w:pPr>
      <w:r>
        <w:rPr>
          <w:rStyle w:val="846"/>
        </w:rPr>
        <w:footnoteRef/>
      </w:r>
      <w:r>
        <w:t xml:space="preserve"> Для инвестиционных площадок производственного назначения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 w:default="1">
    <w:name w:val="Normal"/>
    <w:qFormat/>
    <w:rPr>
      <w:rFonts w:ascii="Arial" w:hAnsi="Arial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Title Char"/>
    <w:basedOn w:val="661"/>
    <w:link w:val="688"/>
    <w:uiPriority w:val="10"/>
    <w:rPr>
      <w:sz w:val="48"/>
      <w:szCs w:val="48"/>
    </w:rPr>
  </w:style>
  <w:style w:type="character" w:styleId="665" w:customStyle="1">
    <w:name w:val="Subtitle Char"/>
    <w:basedOn w:val="661"/>
    <w:link w:val="690"/>
    <w:uiPriority w:val="11"/>
    <w:rPr>
      <w:sz w:val="24"/>
      <w:szCs w:val="24"/>
    </w:rPr>
  </w:style>
  <w:style w:type="character" w:styleId="666" w:customStyle="1">
    <w:name w:val="Quote Char"/>
    <w:link w:val="692"/>
    <w:uiPriority w:val="29"/>
    <w:rPr>
      <w:i/>
    </w:rPr>
  </w:style>
  <w:style w:type="character" w:styleId="667" w:customStyle="1">
    <w:name w:val="Intense Quote Char"/>
    <w:link w:val="694"/>
    <w:uiPriority w:val="30"/>
    <w:rPr>
      <w:i/>
    </w:rPr>
  </w:style>
  <w:style w:type="character" w:styleId="668" w:customStyle="1">
    <w:name w:val="Endnote Text Char"/>
    <w:link w:val="830"/>
    <w:uiPriority w:val="99"/>
    <w:rPr>
      <w:sz w:val="20"/>
    </w:rPr>
  </w:style>
  <w:style w:type="paragraph" w:styleId="669" w:customStyle="1">
    <w:name w:val="Heading 1"/>
    <w:basedOn w:val="660"/>
    <w:next w:val="660"/>
    <w:link w:val="670"/>
    <w:qFormat/>
    <w:uiPriority w:val="9"/>
    <w:rPr>
      <w:rFonts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0" w:customStyle="1">
    <w:name w:val="Heading 1 Char"/>
    <w:basedOn w:val="661"/>
    <w:link w:val="669"/>
    <w:uiPriority w:val="9"/>
    <w:rPr>
      <w:rFonts w:ascii="Arial" w:hAnsi="Arial" w:cs="Arial" w:eastAsia="Arial"/>
      <w:sz w:val="40"/>
      <w:szCs w:val="40"/>
    </w:rPr>
  </w:style>
  <w:style w:type="paragraph" w:styleId="671" w:customStyle="1">
    <w:name w:val="Heading 2"/>
    <w:basedOn w:val="660"/>
    <w:next w:val="660"/>
    <w:link w:val="672"/>
    <w:qFormat/>
    <w:uiPriority w:val="9"/>
    <w:unhideWhenUsed/>
    <w:rPr>
      <w:rFonts w:cs="Arial" w:eastAsia="Arial"/>
      <w:sz w:val="34"/>
    </w:rPr>
    <w:pPr>
      <w:keepLines/>
      <w:keepNext/>
      <w:spacing w:after="200" w:before="360"/>
      <w:outlineLvl w:val="1"/>
    </w:pPr>
  </w:style>
  <w:style w:type="character" w:styleId="672" w:customStyle="1">
    <w:name w:val="Heading 2 Char"/>
    <w:basedOn w:val="661"/>
    <w:link w:val="671"/>
    <w:uiPriority w:val="9"/>
    <w:rPr>
      <w:rFonts w:ascii="Arial" w:hAnsi="Arial" w:cs="Arial" w:eastAsia="Arial"/>
      <w:sz w:val="34"/>
    </w:rPr>
  </w:style>
  <w:style w:type="paragraph" w:styleId="673" w:customStyle="1">
    <w:name w:val="Heading 3"/>
    <w:basedOn w:val="660"/>
    <w:next w:val="660"/>
    <w:link w:val="674"/>
    <w:qFormat/>
    <w:uiPriority w:val="9"/>
    <w:unhideWhenUsed/>
    <w:rPr>
      <w:rFonts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4" w:customStyle="1">
    <w:name w:val="Heading 3 Char"/>
    <w:basedOn w:val="661"/>
    <w:link w:val="673"/>
    <w:uiPriority w:val="9"/>
    <w:rPr>
      <w:rFonts w:ascii="Arial" w:hAnsi="Arial" w:cs="Arial" w:eastAsia="Arial"/>
      <w:sz w:val="30"/>
      <w:szCs w:val="30"/>
    </w:rPr>
  </w:style>
  <w:style w:type="paragraph" w:styleId="675" w:customStyle="1">
    <w:name w:val="Heading 4"/>
    <w:basedOn w:val="660"/>
    <w:next w:val="660"/>
    <w:link w:val="676"/>
    <w:qFormat/>
    <w:uiPriority w:val="9"/>
    <w:unhideWhenUsed/>
    <w:rPr>
      <w:rFonts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6" w:customStyle="1">
    <w:name w:val="Heading 4 Char"/>
    <w:basedOn w:val="66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paragraph" w:styleId="677" w:customStyle="1">
    <w:name w:val="Heading 5"/>
    <w:basedOn w:val="660"/>
    <w:next w:val="660"/>
    <w:link w:val="678"/>
    <w:qFormat/>
    <w:uiPriority w:val="9"/>
    <w:unhideWhenUsed/>
    <w:rPr>
      <w:rFonts w:cs="Arial" w:eastAsia="Arial"/>
      <w:b/>
      <w:bCs/>
    </w:rPr>
    <w:pPr>
      <w:keepLines/>
      <w:keepNext/>
      <w:spacing w:after="200" w:before="320"/>
      <w:outlineLvl w:val="4"/>
    </w:pPr>
  </w:style>
  <w:style w:type="character" w:styleId="678" w:customStyle="1">
    <w:name w:val="Heading 5 Char"/>
    <w:basedOn w:val="661"/>
    <w:link w:val="677"/>
    <w:uiPriority w:val="9"/>
    <w:rPr>
      <w:rFonts w:ascii="Arial" w:hAnsi="Arial" w:cs="Arial" w:eastAsia="Arial"/>
      <w:b/>
      <w:bCs/>
      <w:sz w:val="24"/>
      <w:szCs w:val="24"/>
    </w:rPr>
  </w:style>
  <w:style w:type="paragraph" w:styleId="679" w:customStyle="1">
    <w:name w:val="Heading 6"/>
    <w:basedOn w:val="660"/>
    <w:next w:val="660"/>
    <w:link w:val="680"/>
    <w:qFormat/>
    <w:uiPriority w:val="9"/>
    <w:unhideWhenUsed/>
    <w:rPr>
      <w:rFonts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0" w:customStyle="1">
    <w:name w:val="Heading 6 Char"/>
    <w:basedOn w:val="661"/>
    <w:link w:val="679"/>
    <w:uiPriority w:val="9"/>
    <w:rPr>
      <w:rFonts w:ascii="Arial" w:hAnsi="Arial" w:cs="Arial" w:eastAsia="Arial"/>
      <w:b/>
      <w:bCs/>
      <w:sz w:val="22"/>
      <w:szCs w:val="22"/>
    </w:rPr>
  </w:style>
  <w:style w:type="paragraph" w:styleId="681" w:customStyle="1">
    <w:name w:val="Heading 7"/>
    <w:basedOn w:val="660"/>
    <w:next w:val="660"/>
    <w:link w:val="682"/>
    <w:qFormat/>
    <w:uiPriority w:val="9"/>
    <w:unhideWhenUsed/>
    <w:rPr>
      <w:rFonts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2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3" w:customStyle="1">
    <w:name w:val="Heading 8"/>
    <w:basedOn w:val="660"/>
    <w:next w:val="660"/>
    <w:link w:val="684"/>
    <w:qFormat/>
    <w:uiPriority w:val="9"/>
    <w:unhideWhenUsed/>
    <w:rPr>
      <w:rFonts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4" w:customStyle="1">
    <w:name w:val="Heading 8 Char"/>
    <w:basedOn w:val="661"/>
    <w:link w:val="683"/>
    <w:uiPriority w:val="9"/>
    <w:rPr>
      <w:rFonts w:ascii="Arial" w:hAnsi="Arial" w:cs="Arial" w:eastAsia="Arial"/>
      <w:i/>
      <w:iCs/>
      <w:sz w:val="22"/>
      <w:szCs w:val="22"/>
    </w:rPr>
  </w:style>
  <w:style w:type="paragraph" w:styleId="685" w:customStyle="1">
    <w:name w:val="Heading 9"/>
    <w:basedOn w:val="660"/>
    <w:next w:val="660"/>
    <w:link w:val="686"/>
    <w:qFormat/>
    <w:uiPriority w:val="9"/>
    <w:unhideWhenUsed/>
    <w:rPr>
      <w:rFonts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6" w:customStyle="1">
    <w:name w:val="Heading 9 Char"/>
    <w:basedOn w:val="661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No Spacing"/>
    <w:qFormat/>
    <w:uiPriority w:val="1"/>
    <w:pPr>
      <w:spacing w:lineRule="auto" w:line="240" w:after="0"/>
    </w:pPr>
  </w:style>
  <w:style w:type="paragraph" w:styleId="688">
    <w:name w:val="Title"/>
    <w:basedOn w:val="660"/>
    <w:next w:val="660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 w:customStyle="1">
    <w:name w:val="Название Знак"/>
    <w:basedOn w:val="661"/>
    <w:link w:val="688"/>
    <w:uiPriority w:val="10"/>
    <w:rPr>
      <w:sz w:val="48"/>
      <w:szCs w:val="48"/>
    </w:rPr>
  </w:style>
  <w:style w:type="paragraph" w:styleId="690">
    <w:name w:val="Subtitle"/>
    <w:basedOn w:val="660"/>
    <w:next w:val="660"/>
    <w:link w:val="691"/>
    <w:qFormat/>
    <w:uiPriority w:val="11"/>
    <w:pPr>
      <w:spacing w:after="200" w:before="200"/>
    </w:pPr>
  </w:style>
  <w:style w:type="character" w:styleId="691" w:customStyle="1">
    <w:name w:val="Подзаголовок Знак"/>
    <w:basedOn w:val="661"/>
    <w:link w:val="690"/>
    <w:uiPriority w:val="11"/>
    <w:rPr>
      <w:sz w:val="24"/>
      <w:szCs w:val="24"/>
    </w:rPr>
  </w:style>
  <w:style w:type="paragraph" w:styleId="692">
    <w:name w:val="Quote"/>
    <w:basedOn w:val="660"/>
    <w:next w:val="660"/>
    <w:link w:val="693"/>
    <w:qFormat/>
    <w:uiPriority w:val="29"/>
    <w:rPr>
      <w:i/>
    </w:rPr>
    <w:pPr>
      <w:ind w:left="720" w:right="720"/>
    </w:p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60"/>
    <w:next w:val="660"/>
    <w:link w:val="6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 w:customStyle="1">
    <w:name w:val="Выделенная цитата Знак"/>
    <w:link w:val="694"/>
    <w:uiPriority w:val="30"/>
    <w:rPr>
      <w:i/>
    </w:rPr>
  </w:style>
  <w:style w:type="paragraph" w:styleId="696" w:customStyle="1">
    <w:name w:val="Header"/>
    <w:basedOn w:val="660"/>
    <w:link w:val="6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7" w:customStyle="1">
    <w:name w:val="Header Char"/>
    <w:basedOn w:val="661"/>
    <w:link w:val="696"/>
    <w:uiPriority w:val="99"/>
  </w:style>
  <w:style w:type="paragraph" w:styleId="698" w:customStyle="1">
    <w:name w:val="Footer"/>
    <w:basedOn w:val="660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9" w:customStyle="1">
    <w:name w:val="Footer Char"/>
    <w:basedOn w:val="661"/>
    <w:link w:val="698"/>
    <w:uiPriority w:val="99"/>
  </w:style>
  <w:style w:type="paragraph" w:styleId="700" w:customStyle="1">
    <w:name w:val="Caption"/>
    <w:basedOn w:val="660"/>
    <w:next w:val="66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1" w:customStyle="1">
    <w:name w:val="Caption Char"/>
    <w:link w:val="698"/>
    <w:uiPriority w:val="99"/>
  </w:style>
  <w:style w:type="table" w:styleId="702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 w:customStyle="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 w:customStyle="1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2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3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4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5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6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7" w:customStyle="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6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7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8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9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1" w:customStyle="1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6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7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8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9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0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1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2" w:customStyle="1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5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6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7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8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9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0" w:customStyle="1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8" w:customStyle="1">
    <w:name w:val="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9" w:customStyle="1">
    <w:name w:val="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0" w:customStyle="1">
    <w:name w:val="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1" w:customStyle="1">
    <w:name w:val="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2" w:customStyle="1">
    <w:name w:val="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3" w:customStyle="1">
    <w:name w:val="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4" w:customStyle="1">
    <w:name w:val="Bordered &amp; 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Bordered &amp; 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16" w:customStyle="1">
    <w:name w:val="Bordered &amp; 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7" w:customStyle="1">
    <w:name w:val="Bordered &amp; 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8" w:customStyle="1">
    <w:name w:val="Bordered &amp; 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9" w:customStyle="1">
    <w:name w:val="Bordered &amp; 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0" w:customStyle="1">
    <w:name w:val="Bordered &amp; 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1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2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3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4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5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6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7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8">
    <w:name w:val="Hyperlink"/>
    <w:uiPriority w:val="99"/>
    <w:unhideWhenUsed/>
    <w:rPr>
      <w:color w:val="0563C1" w:themeColor="hyperlink"/>
      <w:u w:val="single"/>
    </w:rPr>
  </w:style>
  <w:style w:type="character" w:styleId="829" w:customStyle="1">
    <w:name w:val="Footnote Text Char"/>
    <w:link w:val="844"/>
    <w:uiPriority w:val="99"/>
    <w:rPr>
      <w:sz w:val="18"/>
    </w:rPr>
  </w:style>
  <w:style w:type="paragraph" w:styleId="830">
    <w:name w:val="endnote text"/>
    <w:basedOn w:val="660"/>
    <w:link w:val="831"/>
    <w:uiPriority w:val="99"/>
    <w:semiHidden/>
    <w:unhideWhenUsed/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61"/>
    <w:uiPriority w:val="99"/>
    <w:semiHidden/>
    <w:unhideWhenUsed/>
    <w:rPr>
      <w:vertAlign w:val="superscript"/>
    </w:rPr>
  </w:style>
  <w:style w:type="paragraph" w:styleId="833">
    <w:name w:val="toc 1"/>
    <w:basedOn w:val="660"/>
    <w:next w:val="660"/>
    <w:uiPriority w:val="39"/>
    <w:unhideWhenUsed/>
    <w:pPr>
      <w:spacing w:after="57"/>
    </w:pPr>
  </w:style>
  <w:style w:type="paragraph" w:styleId="834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35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36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37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8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9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40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41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60"/>
    <w:next w:val="660"/>
    <w:uiPriority w:val="99"/>
    <w:unhideWhenUsed/>
  </w:style>
  <w:style w:type="paragraph" w:styleId="844">
    <w:name w:val="footnote text"/>
    <w:basedOn w:val="660"/>
    <w:link w:val="845"/>
    <w:unhideWhenUsed/>
    <w:rPr>
      <w:rFonts w:ascii="Times New Roman" w:hAnsi="Times New Roman"/>
      <w:sz w:val="20"/>
      <w:szCs w:val="20"/>
    </w:rPr>
  </w:style>
  <w:style w:type="character" w:styleId="845" w:customStyle="1">
    <w:name w:val="Текст сноски Знак"/>
    <w:basedOn w:val="661"/>
    <w:link w:val="844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46">
    <w:name w:val="footnote reference"/>
    <w:uiPriority w:val="99"/>
    <w:semiHidden/>
    <w:unhideWhenUsed/>
    <w:rPr>
      <w:vertAlign w:val="superscript"/>
    </w:rPr>
  </w:style>
  <w:style w:type="paragraph" w:styleId="847">
    <w:name w:val="Balloon Text"/>
    <w:basedOn w:val="660"/>
    <w:link w:val="84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8" w:customStyle="1">
    <w:name w:val="Текст выноски Знак"/>
    <w:basedOn w:val="661"/>
    <w:link w:val="847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49">
    <w:name w:val="List Paragraph"/>
    <w:basedOn w:val="660"/>
    <w:qFormat/>
    <w:uiPriority w:val="34"/>
    <w:pPr>
      <w:contextualSpacing w:val="true"/>
      <w:ind w:left="720"/>
    </w:pPr>
  </w:style>
  <w:style w:type="character" w:styleId="850" w:customStyle="1">
    <w:name w:val="button-search"/>
    <w:basedOn w:val="66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CBC32D0-9AB5-43DE-92BA-8CC6C881DE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9435C7-EEF7-49EB-97CE-732CED7D724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u9333</dc:creator>
  <cp:revision>24</cp:revision>
  <dcterms:created xsi:type="dcterms:W3CDTF">2020-12-10T03:22:00Z</dcterms:created>
  <dcterms:modified xsi:type="dcterms:W3CDTF">2023-07-07T08:13:19Z</dcterms:modified>
</cp:coreProperties>
</file>